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2EB5" w14:textId="77777777" w:rsidR="00075315" w:rsidRPr="00075315" w:rsidRDefault="00075315" w:rsidP="00075315">
      <w:pPr>
        <w:rPr>
          <w:b/>
          <w:bCs/>
        </w:rPr>
      </w:pPr>
      <w:r w:rsidRPr="00075315">
        <w:rPr>
          <w:b/>
          <w:bCs/>
        </w:rPr>
        <w:t>Updated Terms &amp; Conditions – End Users</w:t>
      </w:r>
    </w:p>
    <w:p w14:paraId="4936AE9E" w14:textId="77777777" w:rsidR="00075315" w:rsidRPr="00075315" w:rsidRDefault="00075315" w:rsidP="00075315">
      <w:r w:rsidRPr="00075315">
        <w:rPr>
          <w:b/>
          <w:bCs/>
        </w:rPr>
        <w:t>Effective Date:</w:t>
      </w:r>
      <w:r w:rsidRPr="00075315">
        <w:t xml:space="preserve"> April 26, 2026 (Updated) </w:t>
      </w:r>
    </w:p>
    <w:p w14:paraId="51D5CD92" w14:textId="77777777" w:rsidR="00075315" w:rsidRPr="00075315" w:rsidRDefault="00075315" w:rsidP="00075315">
      <w:r w:rsidRPr="00075315">
        <w:rPr>
          <w:b/>
          <w:bCs/>
        </w:rPr>
        <w:t>1. Acceptance of Terms</w:t>
      </w:r>
      <w:r w:rsidRPr="00075315">
        <w:t xml:space="preserve"> By using the </w:t>
      </w:r>
      <w:proofErr w:type="spellStart"/>
      <w:r w:rsidRPr="00075315">
        <w:t>Imirsiv</w:t>
      </w:r>
      <w:proofErr w:type="spellEnd"/>
      <w:r w:rsidRPr="00075315">
        <w:t xml:space="preserve"> online viewer (“Service”), you agree to these Terms &amp; Conditions. </w:t>
      </w:r>
    </w:p>
    <w:p w14:paraId="123C42A4" w14:textId="77777777" w:rsidR="00075315" w:rsidRPr="00075315" w:rsidRDefault="00075315" w:rsidP="00075315">
      <w:r w:rsidRPr="00075315">
        <w:rPr>
          <w:b/>
          <w:bCs/>
        </w:rPr>
        <w:t>2. Service Description</w:t>
      </w:r>
      <w:r w:rsidRPr="00075315">
        <w:t xml:space="preserve"> </w:t>
      </w:r>
      <w:proofErr w:type="gramStart"/>
      <w:r w:rsidRPr="00075315">
        <w:t>The</w:t>
      </w:r>
      <w:proofErr w:type="gramEnd"/>
      <w:r w:rsidRPr="00075315">
        <w:t xml:space="preserve"> Service enables viewing products or locations in 360°, accessing related images, and interacting with an AI assistant. </w:t>
      </w:r>
    </w:p>
    <w:p w14:paraId="2CD556EF" w14:textId="77777777" w:rsidR="00075315" w:rsidRPr="00075315" w:rsidRDefault="00075315" w:rsidP="00075315">
      <w:r w:rsidRPr="00075315">
        <w:rPr>
          <w:b/>
          <w:bCs/>
        </w:rPr>
        <w:t>3. Digital Content Disclaimer (Accuracy of Models)</w:t>
      </w:r>
    </w:p>
    <w:p w14:paraId="0F74E1FF" w14:textId="77777777" w:rsidR="00075315" w:rsidRPr="00075315" w:rsidRDefault="00075315" w:rsidP="00075315">
      <w:pPr>
        <w:numPr>
          <w:ilvl w:val="0"/>
          <w:numId w:val="1"/>
        </w:numPr>
      </w:pPr>
      <w:r w:rsidRPr="00075315">
        <w:rPr>
          <w:b/>
          <w:bCs/>
        </w:rPr>
        <w:t>Visual Approximations:</w:t>
      </w:r>
      <w:r w:rsidRPr="00075315">
        <w:t xml:space="preserve"> The digital models you view via </w:t>
      </w:r>
      <w:proofErr w:type="spellStart"/>
      <w:r w:rsidRPr="00075315">
        <w:rPr>
          <w:b/>
          <w:bCs/>
        </w:rPr>
        <w:t>Imirsiv</w:t>
      </w:r>
      <w:proofErr w:type="spellEnd"/>
      <w:r w:rsidRPr="00075315">
        <w:rPr>
          <w:b/>
          <w:bCs/>
        </w:rPr>
        <w:t xml:space="preserve"> Auto</w:t>
      </w:r>
      <w:r w:rsidRPr="00075315">
        <w:t xml:space="preserve"> or other </w:t>
      </w:r>
      <w:proofErr w:type="spellStart"/>
      <w:r w:rsidRPr="00075315">
        <w:t>Imirsiv</w:t>
      </w:r>
      <w:proofErr w:type="spellEnd"/>
      <w:r w:rsidRPr="00075315">
        <w:t xml:space="preserve"> technologies are "true-to-life" approximations created through 3D Gaussian Splatting and computer vision.</w:t>
      </w:r>
    </w:p>
    <w:p w14:paraId="120EBEF1" w14:textId="77777777" w:rsidR="00075315" w:rsidRPr="00075315" w:rsidRDefault="00075315" w:rsidP="00075315">
      <w:pPr>
        <w:numPr>
          <w:ilvl w:val="0"/>
          <w:numId w:val="1"/>
        </w:numPr>
      </w:pPr>
      <w:r w:rsidRPr="00075315">
        <w:rPr>
          <w:b/>
          <w:bCs/>
        </w:rPr>
        <w:t>Accuracy:</w:t>
      </w:r>
      <w:r w:rsidRPr="00075315">
        <w:t xml:space="preserve"> These models are provided for illustrative purposes and are </w:t>
      </w:r>
      <w:r w:rsidRPr="00075315">
        <w:rPr>
          <w:b/>
          <w:bCs/>
        </w:rPr>
        <w:t>not 100% accurate</w:t>
      </w:r>
      <w:r w:rsidRPr="00075315">
        <w:t xml:space="preserve"> representations of the physical object.</w:t>
      </w:r>
    </w:p>
    <w:p w14:paraId="5ABFEC14" w14:textId="77777777" w:rsidR="00075315" w:rsidRPr="00075315" w:rsidRDefault="00075315" w:rsidP="00075315">
      <w:pPr>
        <w:numPr>
          <w:ilvl w:val="0"/>
          <w:numId w:val="1"/>
        </w:numPr>
      </w:pPr>
      <w:r w:rsidRPr="00075315">
        <w:rPr>
          <w:b/>
          <w:bCs/>
        </w:rPr>
        <w:t>User Reliance:</w:t>
      </w:r>
      <w:r w:rsidRPr="00075315">
        <w:t xml:space="preserve"> You should not rely solely on the digital model to determine the exact condition, color, or specifications of a vehicle. Always verify the vehicle's condition in person before making a purchase or legal commitment.</w:t>
      </w:r>
    </w:p>
    <w:p w14:paraId="0FD0B4E1" w14:textId="77777777" w:rsidR="00075315" w:rsidRPr="00075315" w:rsidRDefault="00075315" w:rsidP="00075315">
      <w:r w:rsidRPr="00075315">
        <w:rPr>
          <w:b/>
          <w:bCs/>
        </w:rPr>
        <w:t>4. User Conduct</w:t>
      </w:r>
      <w:r w:rsidRPr="00075315">
        <w:t xml:space="preserve"> You agree not to misuse the Service, attempt unauthorized access, or transmit harmful content. </w:t>
      </w:r>
    </w:p>
    <w:p w14:paraId="54B7C7A5" w14:textId="77777777" w:rsidR="00075315" w:rsidRPr="00075315" w:rsidRDefault="00075315" w:rsidP="00075315">
      <w:r w:rsidRPr="00075315">
        <w:rPr>
          <w:b/>
          <w:bCs/>
        </w:rPr>
        <w:t>5. Opt-In Consent &amp; Data Sharing</w:t>
      </w:r>
    </w:p>
    <w:p w14:paraId="2972EFB7" w14:textId="77777777" w:rsidR="00075315" w:rsidRPr="00075315" w:rsidRDefault="00075315" w:rsidP="00075315">
      <w:r w:rsidRPr="00075315">
        <w:t>By opting in or continuing to use the Service, you:</w:t>
      </w:r>
    </w:p>
    <w:p w14:paraId="3963131A" w14:textId="77777777" w:rsidR="00075315" w:rsidRPr="00075315" w:rsidRDefault="00075315" w:rsidP="00075315">
      <w:pPr>
        <w:numPr>
          <w:ilvl w:val="0"/>
          <w:numId w:val="2"/>
        </w:numPr>
      </w:pPr>
      <w:r w:rsidRPr="00075315">
        <w:t xml:space="preserve">Consent to data collection as outlined in the Privacy Policy. </w:t>
      </w:r>
    </w:p>
    <w:p w14:paraId="28E09B32" w14:textId="77777777" w:rsidR="00075315" w:rsidRPr="00075315" w:rsidRDefault="00075315" w:rsidP="00075315">
      <w:pPr>
        <w:numPr>
          <w:ilvl w:val="0"/>
          <w:numId w:val="2"/>
        </w:numPr>
      </w:pPr>
      <w:r w:rsidRPr="00075315">
        <w:t xml:space="preserve">Authorize us to share your email and browsing data with dealers or partners for marketing and analytics. </w:t>
      </w:r>
    </w:p>
    <w:p w14:paraId="4BAEA355" w14:textId="77777777" w:rsidR="00075315" w:rsidRPr="00075315" w:rsidRDefault="00075315" w:rsidP="00075315">
      <w:pPr>
        <w:numPr>
          <w:ilvl w:val="0"/>
          <w:numId w:val="2"/>
        </w:numPr>
      </w:pPr>
      <w:r w:rsidRPr="00075315">
        <w:t xml:space="preserve">Acknowledge that partners may contact you directly. </w:t>
      </w:r>
    </w:p>
    <w:p w14:paraId="05BCC960" w14:textId="77777777" w:rsidR="00075315" w:rsidRPr="00075315" w:rsidRDefault="00075315" w:rsidP="00075315">
      <w:pPr>
        <w:numPr>
          <w:ilvl w:val="0"/>
          <w:numId w:val="2"/>
        </w:numPr>
      </w:pPr>
      <w:r w:rsidRPr="00075315">
        <w:t xml:space="preserve">Waive claims against us for partner use of data consistent with their policies. </w:t>
      </w:r>
    </w:p>
    <w:p w14:paraId="36862504" w14:textId="77777777" w:rsidR="00075315" w:rsidRPr="00075315" w:rsidRDefault="00075315" w:rsidP="00075315">
      <w:r w:rsidRPr="00075315">
        <w:rPr>
          <w:b/>
          <w:bCs/>
        </w:rPr>
        <w:t>6. Intellectual Property</w:t>
      </w:r>
      <w:r w:rsidRPr="00075315">
        <w:t xml:space="preserve"> All content, trademarks, and software related to the Service belong to </w:t>
      </w:r>
      <w:proofErr w:type="spellStart"/>
      <w:r w:rsidRPr="00075315">
        <w:t>Mohx</w:t>
      </w:r>
      <w:proofErr w:type="spellEnd"/>
      <w:r w:rsidRPr="00075315">
        <w:t xml:space="preserve"> Games Inc, DBA </w:t>
      </w:r>
      <w:proofErr w:type="spellStart"/>
      <w:r w:rsidRPr="00075315">
        <w:t>Mohx</w:t>
      </w:r>
      <w:proofErr w:type="spellEnd"/>
      <w:r w:rsidRPr="00075315">
        <w:t xml:space="preserve"> Technologies, or our licensors. </w:t>
      </w:r>
    </w:p>
    <w:p w14:paraId="5346ECAF" w14:textId="77777777" w:rsidR="00075315" w:rsidRPr="00075315" w:rsidRDefault="00075315" w:rsidP="00075315">
      <w:r w:rsidRPr="00075315">
        <w:rPr>
          <w:b/>
          <w:bCs/>
        </w:rPr>
        <w:t>7. No Warranty</w:t>
      </w:r>
      <w:r w:rsidRPr="00075315">
        <w:t xml:space="preserve"> </w:t>
      </w:r>
      <w:proofErr w:type="gramStart"/>
      <w:r w:rsidRPr="00075315">
        <w:t>The</w:t>
      </w:r>
      <w:proofErr w:type="gramEnd"/>
      <w:r w:rsidRPr="00075315">
        <w:t xml:space="preserve"> Service is provided “as is.” We do not guarantee uninterrupted or error-free operation, nor do we warrant that the digital models are free from visual artifacts or inaccuracies.</w:t>
      </w:r>
    </w:p>
    <w:p w14:paraId="62F2D46E" w14:textId="77777777" w:rsidR="00075315" w:rsidRPr="00075315" w:rsidRDefault="00075315" w:rsidP="00075315">
      <w:r w:rsidRPr="00075315">
        <w:rPr>
          <w:b/>
          <w:bCs/>
        </w:rPr>
        <w:lastRenderedPageBreak/>
        <w:t>8. Limitation of Liability</w:t>
      </w:r>
      <w:r w:rsidRPr="00075315">
        <w:t xml:space="preserve"> To the fullest extent permitted by law, </w:t>
      </w:r>
      <w:proofErr w:type="spellStart"/>
      <w:r w:rsidRPr="00075315">
        <w:t>Mohx</w:t>
      </w:r>
      <w:proofErr w:type="spellEnd"/>
      <w:r w:rsidRPr="00075315">
        <w:t xml:space="preserve"> Technologies is not liable for indirect, incidental, or consequential </w:t>
      </w:r>
      <w:proofErr w:type="gramStart"/>
      <w:r w:rsidRPr="00075315">
        <w:t>damages</w:t>
      </w:r>
      <w:proofErr w:type="gramEnd"/>
      <w:r w:rsidRPr="00075315">
        <w:t xml:space="preserve"> arising from your use of the Service, including any reliance on the visual accuracy of 3D models.</w:t>
      </w:r>
    </w:p>
    <w:p w14:paraId="18CC7E84" w14:textId="77777777" w:rsidR="00075315" w:rsidRPr="00075315" w:rsidRDefault="00075315" w:rsidP="00075315">
      <w:r w:rsidRPr="00075315">
        <w:rPr>
          <w:b/>
          <w:bCs/>
        </w:rPr>
        <w:t>9. Third-Party Content &amp; Links</w:t>
      </w:r>
      <w:r w:rsidRPr="00075315">
        <w:t xml:space="preserve"> We are not responsible for the content or practices of third-party sites or partners linked through the Service. </w:t>
      </w:r>
    </w:p>
    <w:p w14:paraId="781E5FC6" w14:textId="77777777" w:rsidR="00075315" w:rsidRPr="00075315" w:rsidRDefault="00075315" w:rsidP="00075315">
      <w:r w:rsidRPr="00075315">
        <w:rPr>
          <w:b/>
          <w:bCs/>
        </w:rPr>
        <w:t>10. Termination</w:t>
      </w:r>
      <w:r w:rsidRPr="00075315">
        <w:t xml:space="preserve"> We may suspend or terminate access to the Service at our discretion without notice. </w:t>
      </w:r>
    </w:p>
    <w:p w14:paraId="404D1642" w14:textId="77777777" w:rsidR="00075315" w:rsidRPr="00075315" w:rsidRDefault="00075315" w:rsidP="00075315">
      <w:r w:rsidRPr="00075315">
        <w:rPr>
          <w:b/>
          <w:bCs/>
        </w:rPr>
        <w:t>11. Governing Law</w:t>
      </w:r>
      <w:r w:rsidRPr="00075315">
        <w:t xml:space="preserve"> These Terms are governed by the laws of Wisconsin, USA.</w:t>
      </w:r>
    </w:p>
    <w:p w14:paraId="1BA2C931" w14:textId="77777777" w:rsidR="00075315" w:rsidRDefault="00075315"/>
    <w:sectPr w:rsidR="0007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412"/>
    <w:multiLevelType w:val="multilevel"/>
    <w:tmpl w:val="514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23BAF"/>
    <w:multiLevelType w:val="multilevel"/>
    <w:tmpl w:val="CABE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263147">
    <w:abstractNumId w:val="0"/>
  </w:num>
  <w:num w:numId="2" w16cid:durableId="173862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15"/>
    <w:rsid w:val="00075315"/>
    <w:rsid w:val="007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DC8B"/>
  <w15:chartTrackingRefBased/>
  <w15:docId w15:val="{87B5D61B-E7C1-4432-B24D-FC1C6D28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2008</Characters>
  <Application>Microsoft Office Word</Application>
  <DocSecurity>0</DocSecurity>
  <Lines>35</Lines>
  <Paragraphs>17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Walsh</dc:creator>
  <cp:keywords/>
  <dc:description/>
  <cp:lastModifiedBy>Eugene Walsh</cp:lastModifiedBy>
  <cp:revision>1</cp:revision>
  <dcterms:created xsi:type="dcterms:W3CDTF">2026-04-26T20:57:00Z</dcterms:created>
  <dcterms:modified xsi:type="dcterms:W3CDTF">2026-04-26T20:58:00Z</dcterms:modified>
</cp:coreProperties>
</file>